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419" w:right="1355"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Le </w:t>
      </w:r>
      <w:r w:rsidDel="00000000" w:rsidR="00000000" w:rsidRPr="00000000">
        <w:rPr>
          <w:b w:val="1"/>
          <w:sz w:val="24"/>
          <w:szCs w:val="24"/>
          <w:rtl w:val="0"/>
        </w:rPr>
        <w:t xml:space="preserve">t</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ournoi</w:t>
      </w:r>
    </w:p>
    <w:p w:rsidR="00000000" w:rsidDel="00000000" w:rsidP="00000000" w:rsidRDefault="00000000" w:rsidRPr="00000000" w14:paraId="00000003">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39"/>
          <w:tab w:val="left" w:pos="840"/>
        </w:tabs>
        <w:spacing w:after="0" w:before="277" w:line="249" w:lineRule="auto"/>
        <w:ind w:left="120" w:right="6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Le règlement de la compétition est celui préconisé par la FFBaD sous la responsabilité du Juge-Arbitre. La Juge-Arbitre de la compétition est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Véronique MARESCA</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ses décisions seront sans appel.</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entury Gothic" w:cs="Century Gothic" w:eastAsia="Century Gothic" w:hAnsi="Century Gothic"/>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39"/>
          <w:tab w:val="left" w:pos="840"/>
        </w:tabs>
        <w:spacing w:after="0" w:before="0" w:line="249" w:lineRule="auto"/>
        <w:ind w:left="120" w:right="83"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Toute participation au tournoi implique l’adoption de tous les articles du présent règlement particulier. Le Juge-Arbitre se réserve le droit de disqualifier partiellement ou totalement tout joueur qui ne respecterait pas ce règlement particulier.</w:t>
      </w:r>
    </w:p>
    <w:p w:rsidR="00000000" w:rsidDel="00000000" w:rsidP="00000000" w:rsidRDefault="00000000" w:rsidRPr="00000000" w14:paraId="00000006">
      <w:pPr>
        <w:tabs>
          <w:tab w:val="left" w:pos="839"/>
          <w:tab w:val="left" w:pos="840"/>
        </w:tabs>
        <w:spacing w:before="244" w:line="254" w:lineRule="auto"/>
        <w:ind w:left="120" w:right="169" w:firstLine="0"/>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sz w:val="20"/>
          <w:szCs w:val="20"/>
          <w:rtl w:val="0"/>
        </w:rPr>
        <w:t xml:space="preserve">3.</w:t>
        <w:tab/>
        <w:t xml:space="preserve">Le tournoi est autorisé par la ligue d’Auvergne Rhône Alpes « AURA » et par la Fédération Française de Badminton « FFBaD » sous le numéro : </w:t>
      </w:r>
      <w:r w:rsidDel="00000000" w:rsidR="00000000" w:rsidRPr="00000000">
        <w:rPr>
          <w:b w:val="1"/>
          <w:sz w:val="20"/>
          <w:szCs w:val="20"/>
          <w:rtl w:val="0"/>
        </w:rPr>
        <w:t xml:space="preserve">à suivre (demande POONA N° 2102217)</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4"/>
          <w:tab w:val="left" w:pos="825"/>
        </w:tabs>
        <w:spacing w:after="0" w:before="0" w:line="302" w:lineRule="auto"/>
        <w:ind w:left="120" w:right="404" w:hanging="1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Le tournoi se déroulera au gymnase BONORA, Rue Jean-Philippe Rameau, 69410 Champagne-au-Mont-d'Or.</w:t>
        <w:br w:type="textWrapping"/>
        <w:t xml:space="preserve">Les simples se joue</w:t>
      </w:r>
      <w:r w:rsidDel="00000000" w:rsidR="00000000" w:rsidRPr="00000000">
        <w:rPr>
          <w:sz w:val="20"/>
          <w:szCs w:val="20"/>
          <w:rtl w:val="0"/>
        </w:rPr>
        <w:t xml:space="preserve">ront le samedi 16 Avril,</w:t>
        <w:br w:type="textWrapping"/>
        <w:t xml:space="preserve">les doubles le dimanche 17 Avril et les mixtes le lundi 18 Avril 2022.</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419" w:right="1357"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Les inscriptions</w:t>
      </w:r>
    </w:p>
    <w:p w:rsidR="00000000" w:rsidDel="00000000" w:rsidP="00000000" w:rsidRDefault="00000000" w:rsidRPr="00000000" w14:paraId="0000000A">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39"/>
          <w:tab w:val="left" w:pos="840"/>
        </w:tabs>
        <w:spacing w:after="0" w:before="138" w:line="249" w:lineRule="auto"/>
        <w:ind w:left="120" w:right="27" w:firstLine="0"/>
        <w:jc w:val="left"/>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La date limite d’inscription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est celle de la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réception du dossier d’inscription complet,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et est fixée au lundi </w:t>
      </w:r>
      <w:r w:rsidDel="00000000" w:rsidR="00000000" w:rsidRPr="00000000">
        <w:rPr>
          <w:b w:val="1"/>
          <w:sz w:val="20"/>
          <w:szCs w:val="20"/>
          <w:rtl w:val="0"/>
        </w:rPr>
        <w:t xml:space="preserve">28</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Mars 202</w:t>
      </w:r>
      <w:r w:rsidDel="00000000" w:rsidR="00000000" w:rsidRPr="00000000">
        <w:rPr>
          <w:b w:val="1"/>
          <w:sz w:val="20"/>
          <w:szCs w:val="20"/>
          <w:rtl w:val="0"/>
        </w:rPr>
        <w:t xml:space="preserve">2</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Il comprend la fiche d’inscription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et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le règlement par chèque</w:t>
      </w:r>
      <w:r w:rsidDel="00000000" w:rsidR="00000000" w:rsidRPr="00000000">
        <w:rPr>
          <w:sz w:val="20"/>
          <w:szCs w:val="20"/>
          <w:rtl w:val="0"/>
        </w:rPr>
        <w:t xml:space="preserve"> ou virement</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le tout envoyé par courrier postal à Corentin PACAUD, Ap. 234C, 12 Rue Félix Mangini, 69009 LYON</w:t>
      </w:r>
      <w:r w:rsidDel="00000000" w:rsidR="00000000" w:rsidRPr="00000000">
        <w:rPr>
          <w:sz w:val="20"/>
          <w:szCs w:val="20"/>
          <w:rtl w:val="0"/>
        </w:rPr>
        <w:t xml:space="preserve">, et par email à </w:t>
      </w:r>
      <w:hyperlink r:id="rId7">
        <w:r w:rsidDel="00000000" w:rsidR="00000000" w:rsidRPr="00000000">
          <w:rPr>
            <w:color w:val="1155cc"/>
            <w:sz w:val="20"/>
            <w:szCs w:val="20"/>
            <w:u w:val="single"/>
            <w:rtl w:val="0"/>
          </w:rPr>
          <w:t xml:space="preserve">champabad.tounois@gmail.com</w:t>
        </w:r>
      </w:hyperlink>
      <w:r w:rsidDel="00000000" w:rsidR="00000000" w:rsidRPr="00000000">
        <w:rPr>
          <w:sz w:val="20"/>
          <w:szCs w:val="20"/>
          <w:rtl w:val="0"/>
        </w:rPr>
        <w:t xml:space="preserve">.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Les droits d’inscription s’élèvent à 19€ par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joueur pour un tableau, 22€ pour deux tableaux et 25€ pour trois tableaux</w:t>
      </w:r>
      <w:r w:rsidDel="00000000" w:rsidR="00000000" w:rsidRPr="00000000">
        <w:rPr>
          <w:rtl w:val="0"/>
        </w:rPr>
        <w:t xml:space="preserve">.</w:t>
      </w:r>
      <w:r w:rsidDel="00000000" w:rsidR="00000000" w:rsidRPr="00000000">
        <w:rPr>
          <w:sz w:val="20"/>
          <w:szCs w:val="20"/>
          <w:rtl w:val="0"/>
        </w:rPr>
        <w:t xml:space="preserve"> Un RIB devra être attaché à l’inscription afin de faciliter les remboursements.</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4"/>
          <w:tab w:val="left" w:pos="825"/>
        </w:tabs>
        <w:spacing w:after="0" w:before="0" w:line="249" w:lineRule="auto"/>
        <w:ind w:left="105" w:right="236"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Les inscriptions pourront être envoyées par le club, ou personnelles.</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24"/>
          <w:tab w:val="left" w:pos="825"/>
        </w:tabs>
        <w:spacing w:after="0" w:before="0" w:line="249" w:lineRule="auto"/>
        <w:ind w:left="105" w:right="422"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La date de tirage au sort est fixée au jeudi </w:t>
      </w:r>
      <w:r w:rsidDel="00000000" w:rsidR="00000000" w:rsidRPr="00000000">
        <w:rPr>
          <w:b w:val="1"/>
          <w:sz w:val="20"/>
          <w:szCs w:val="20"/>
          <w:rtl w:val="0"/>
        </w:rPr>
        <w:t xml:space="preserve">9</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Avril 202</w:t>
      </w:r>
      <w:r w:rsidDel="00000000" w:rsidR="00000000" w:rsidRPr="00000000">
        <w:rPr>
          <w:b w:val="1"/>
          <w:sz w:val="20"/>
          <w:szCs w:val="20"/>
          <w:rtl w:val="0"/>
        </w:rPr>
        <w:t xml:space="preserve">2</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4"/>
          <w:tab w:val="left" w:pos="825"/>
        </w:tabs>
        <w:spacing w:after="0" w:before="0" w:line="249" w:lineRule="auto"/>
        <w:ind w:left="105" w:right="194"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Le Comité Organisateur décline toute responsabilité en cas de vol, pertes, accidents ou autres incidents.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4"/>
          <w:tab w:val="left" w:pos="825"/>
        </w:tabs>
        <w:spacing w:after="0" w:before="1" w:line="249" w:lineRule="auto"/>
        <w:ind w:left="105" w:right="38"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RGC3.2.1.5. Dans un même tableau, le CPPH du mieux classé des participants ne peut pas être plus de 16 fois supérieu</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r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à celui du moins bien classé. Par exemple, si le joueur le moins bien classé d'un tableau a une cote de 8 (D9), alors le tableau ne peut pas inclure un joueur dont la cote serait supérieure à 128 (R5). Cas particulier : si un tableau inclut un joueur NC ou P12, alors il peut inclure au maximum des joueurs classés D8 (côte strictement inférieure à 32).</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05" w:right="76"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Cependant, afin d’éviter les paires inclassables dans une catégorie, un joueur ne pourra pas jouer avec un partenaire plus de </w:t>
      </w: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8 fois supérieur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(ex: un joueur ayant 10 points ne pourra pas jouer avec un partenaire ayant plus de 80 points)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750"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Les tableaux et les Séries</w:t>
      </w:r>
    </w:p>
    <w:p w:rsidR="00000000" w:rsidDel="00000000" w:rsidP="00000000" w:rsidRDefault="00000000" w:rsidRPr="00000000" w14:paraId="0000001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4"/>
          <w:tab w:val="left" w:pos="825"/>
        </w:tabs>
        <w:spacing w:after="0" w:before="138" w:line="249" w:lineRule="auto"/>
        <w:ind w:left="0" w:right="150" w:firstLine="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Chaque tableau sera joué en intégralité sur une journée (de la phase de poules à la finale). La répartition des tableaux sur chacune des 3 journées sera réalisée en fonction de la taille de chacun des tableaux à date de tirage au sort.</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195"/>
        </w:tabs>
        <w:spacing w:after="0" w:before="0" w:line="249" w:lineRule="auto"/>
        <w:ind w:left="0" w:right="213"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Les joueurs seront placés dans les séries en fonction de leur classement CPPH le jour du tirage au sort (0</w:t>
      </w:r>
      <w:r w:rsidDel="00000000" w:rsidR="00000000" w:rsidRPr="00000000">
        <w:rPr>
          <w:sz w:val="20"/>
          <w:szCs w:val="20"/>
          <w:rtl w:val="0"/>
        </w:rPr>
        <w:t xml:space="preserve">9/</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0</w:t>
      </w:r>
      <w:r w:rsidDel="00000000" w:rsidR="00000000" w:rsidRPr="00000000">
        <w:rPr>
          <w:sz w:val="20"/>
          <w:szCs w:val="20"/>
          <w:rtl w:val="0"/>
        </w:rPr>
        <w:t xml:space="preserve">4</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/202</w:t>
      </w:r>
      <w:r w:rsidDel="00000000" w:rsidR="00000000" w:rsidRPr="00000000">
        <w:rPr>
          <w:sz w:val="20"/>
          <w:szCs w:val="20"/>
          <w:rtl w:val="0"/>
        </w:rPr>
        <w:t xml:space="preserve">2</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194"/>
          <w:tab w:val="left" w:pos="1195"/>
        </w:tabs>
        <w:spacing w:after="0" w:before="0" w:line="249" w:lineRule="auto"/>
        <w:ind w:left="0" w:right="123" w:firstLine="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Pour chaque tableau, le nombre de participants est limité entre </w:t>
      </w:r>
      <w:r w:rsidDel="00000000" w:rsidR="00000000" w:rsidRPr="00000000">
        <w:rPr>
          <w:sz w:val="20"/>
          <w:szCs w:val="20"/>
          <w:rtl w:val="0"/>
        </w:rPr>
        <w:t xml:space="preserve">6</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(poule unique) et 16 avec 2 sortant</w:t>
      </w:r>
      <w:r w:rsidDel="00000000" w:rsidR="00000000" w:rsidRPr="00000000">
        <w:rPr>
          <w:sz w:val="20"/>
          <w:szCs w:val="20"/>
          <w:rtl w:val="0"/>
        </w:rPr>
        <w:t xml:space="preserve">s par poule</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selon l'affluence et la densité des joueurs. En cas de dépassement du nombre d'inscrits, une liste d'attente est constituée, tenant compte des critères suivants, par ordre de priorité :</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Ordre d'arrivée de l'inscription complète (inscription + règlements)</w:t>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0" w:line="240" w:lineRule="auto"/>
        <w:ind w:left="0" w:right="0" w:firstLine="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Date de paiement des droits d'engagement</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entury Gothic" w:cs="Century Gothic" w:eastAsia="Century Gothic" w:hAnsi="Century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194"/>
          <w:tab w:val="left" w:pos="1195"/>
        </w:tabs>
        <w:spacing w:after="0" w:before="0" w:line="249" w:lineRule="auto"/>
        <w:ind w:left="0" w:right="196"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Le tournoi est ouvert à tous les joueurs autorisés à participer aux compétitions séniors (minimes / cadets / juniors / séniors / vétérans) licenciés à la Fédération Française de Badminton, classés dans les séries N</w:t>
      </w:r>
      <w:r w:rsidDel="00000000" w:rsidR="00000000" w:rsidRPr="00000000">
        <w:rPr>
          <w:sz w:val="20"/>
          <w:szCs w:val="20"/>
          <w:rtl w:val="0"/>
        </w:rPr>
        <w:t xml:space="preserve">3</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à NC</w:t>
      </w:r>
      <w:r w:rsidDel="00000000" w:rsidR="00000000" w:rsidRPr="00000000">
        <w:rPr>
          <w:sz w:val="20"/>
          <w:szCs w:val="20"/>
          <w:rtl w:val="0"/>
        </w:rPr>
        <w:t xml:space="preserve"> et exempts de toutes sanctions.</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1194"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Particularités du Tournoi</w:t>
      </w:r>
    </w:p>
    <w:p w:rsidR="00000000" w:rsidDel="00000000" w:rsidP="00000000" w:rsidRDefault="00000000" w:rsidRPr="00000000" w14:paraId="0000001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179"/>
          <w:tab w:val="left" w:pos="1180"/>
        </w:tabs>
        <w:spacing w:after="0" w:before="123" w:line="249" w:lineRule="auto"/>
        <w:ind w:left="0" w:right="35" w:hanging="15"/>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Pour le bon déroulement du tournoi, l’ordre des matchs et les horaires sont donnés à titre indicatifs, et peuvent être modifiés à tout moment sur décision du Juge-Arbitre et du Comité Organisateur. Les matchs pourront être lancés jusqu’à 1h en avance. Les joueurs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souhaitant quitter le gymnase en cours de compétition le feront après accord du Juge-Arbitre, et laisseront leur numéro de téléphone à la table de marque.</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4"/>
          <w:tab w:val="left" w:pos="825"/>
        </w:tabs>
        <w:spacing w:after="0" w:before="0" w:line="249" w:lineRule="auto"/>
        <w:ind w:left="120" w:right="212" w:hanging="15"/>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Les volants seront à la charge des joueurs : En cas de litige le volant choisi sera le volant officiel (en vente dans la salle) Volant plume :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Babolat n°</w:t>
      </w:r>
      <w:r w:rsidDel="00000000" w:rsidR="00000000" w:rsidRPr="00000000">
        <w:rPr>
          <w:b w:val="1"/>
          <w:sz w:val="20"/>
          <w:szCs w:val="20"/>
          <w:rtl w:val="0"/>
        </w:rPr>
        <w:t xml:space="preserve">3</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Volant plastique :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Yonex MAVIS 600.</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4"/>
          <w:tab w:val="left" w:pos="825"/>
        </w:tabs>
        <w:spacing w:after="0" w:before="0" w:line="249" w:lineRule="auto"/>
        <w:ind w:left="120" w:right="38" w:hanging="15"/>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L’inscription au tournoi vaut acceptation de l’utilisation de l’image des joueurs. Photos et vidéos peuvent être prises durant le tournoi et diffusées sur différents médias. Si vous ne voulez pas </w:t>
      </w:r>
      <w:r w:rsidDel="00000000" w:rsidR="00000000" w:rsidRPr="00000000">
        <w:rPr>
          <w:sz w:val="20"/>
          <w:szCs w:val="20"/>
          <w:rtl w:val="0"/>
        </w:rPr>
        <w:t xml:space="preserve">apparaître</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sur ces supports, merci de nous le signaler lors de votre inscription et/ou à la table de marque.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945"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Arbitrage et coaching</w:t>
      </w:r>
    </w:p>
    <w:p w:rsidR="00000000" w:rsidDel="00000000" w:rsidP="00000000" w:rsidRDefault="00000000" w:rsidRPr="00000000" w14:paraId="0000002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39"/>
          <w:tab w:val="left" w:pos="840"/>
        </w:tabs>
        <w:spacing w:after="0" w:before="277" w:line="249" w:lineRule="auto"/>
        <w:ind w:left="120" w:right="83"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Le plateau de </w:t>
      </w:r>
      <w:r w:rsidDel="00000000" w:rsidR="00000000" w:rsidRPr="00000000">
        <w:rPr>
          <w:sz w:val="20"/>
          <w:szCs w:val="20"/>
          <w:rtl w:val="0"/>
        </w:rPr>
        <w:t xml:space="preserve">jeu</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est uniquement réservé au Juge-Arbitre, aux organisateurs et aux joueurs. Les Conseillers Techniques n’auront accès au plateau de jeu que lors des arrêts de jeu règlementaires. Le nombre de Conseillers Techniques autorisé est de 2 maximum par joueur.</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40"/>
        </w:tabs>
        <w:spacing w:after="0" w:before="1" w:line="249" w:lineRule="auto"/>
        <w:ind w:left="120" w:right="226"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Vu la disposition de la salle et l’espace entre les terrains, le coaching sera INTERDIT en dehors des arrêts de jeu réglementaires.</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40"/>
        </w:tabs>
        <w:spacing w:after="0" w:before="123" w:line="249" w:lineRule="auto"/>
        <w:ind w:left="105" w:right="391" w:firstLine="0"/>
        <w:jc w:val="both"/>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Les matchs seront auto-arbitrés. En cas de litige durant le match, les joueurs pourront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faire appel au Juge Arbitre à n’importe quel moment.</w:t>
      </w:r>
      <w:r w:rsidDel="00000000" w:rsidR="00000000" w:rsidRPr="00000000">
        <w:rPr>
          <w:rtl w:val="0"/>
        </w:rPr>
      </w:r>
    </w:p>
    <w:p w:rsidR="00000000" w:rsidDel="00000000" w:rsidP="00000000" w:rsidRDefault="00000000" w:rsidRPr="00000000" w14:paraId="0000002A">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4"/>
          <w:tab w:val="left" w:pos="825"/>
        </w:tabs>
        <w:spacing w:after="0" w:before="0" w:line="249" w:lineRule="auto"/>
        <w:ind w:left="105" w:right="176"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Tout volant touchant les infrastructures fixes panneaux, lampes…) sera compté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FAUTE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 jeu et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LET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au service 2 fois maximum. Le filin touché sera annoncé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LET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dans l’échange comme au service, autant de fois que nécessaire.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4"/>
          <w:tab w:val="left" w:pos="825"/>
        </w:tabs>
        <w:spacing w:after="0" w:before="0" w:line="249" w:lineRule="auto"/>
        <w:ind w:left="105" w:right="10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Tout joueur ne répondant pas à l’appel de son nom passé un délai de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5 minutes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pourra être disqualifié par le Juge-arbitre et ce, quel que soit le niveau de la compétition.</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4"/>
          <w:tab w:val="left" w:pos="825"/>
        </w:tabs>
        <w:spacing w:after="0" w:before="0" w:line="249" w:lineRule="auto"/>
        <w:ind w:left="105" w:right="56"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Le temps minimum de repos entre deux matchs consécutifs est fixé à 20 minutes. Il ne pourra être réduit qu’avec l’accord express des intéressé(e)s, et prolongé sur décision du Juge Arbitre.</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4"/>
          <w:tab w:val="left" w:pos="825"/>
        </w:tabs>
        <w:spacing w:after="0" w:before="0" w:line="249" w:lineRule="auto"/>
        <w:ind w:left="105" w:right="237"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Les joueurs disposent de 3 minutes de préparation à l’appel de leur match. Ces 3 minutes comprennent : la prise de contact du terrain, le test des volants, et la mise en tenue. Par ailleurs, un terrain d’échauffement est à la disposition des joueurs pendant toute la compétition. Il sera cependant réservé aux joueurs appelés en préparation.</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4"/>
          <w:tab w:val="left" w:pos="825"/>
        </w:tabs>
        <w:spacing w:after="0" w:before="1" w:line="249" w:lineRule="auto"/>
        <w:ind w:left="105" w:right="449"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L’utilisation de substances et de tous moyens destinés au dopage est prohibée.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4"/>
          <w:tab w:val="left" w:pos="825"/>
        </w:tabs>
        <w:spacing w:after="0" w:before="0" w:line="240" w:lineRule="auto"/>
        <w:ind w:left="141.7322834645671" w:right="38" w:firstLine="0"/>
        <w:jc w:val="left"/>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Une tenue de badminton, conforme aux circulaires de la FFBaD est exigée sur les terrains. Le règlement des tenues et publicités sera affiché dans la salle au tableau d’affichage.</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 w:line="240" w:lineRule="auto"/>
        <w:ind w:left="585"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Forfaits et Remboursements</w:t>
      </w:r>
    </w:p>
    <w:p w:rsidR="00000000" w:rsidDel="00000000" w:rsidP="00000000" w:rsidRDefault="00000000" w:rsidRPr="00000000" w14:paraId="0000003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4"/>
          <w:tab w:val="left" w:pos="825"/>
        </w:tabs>
        <w:spacing w:after="0" w:before="277" w:line="240" w:lineRule="auto"/>
        <w:ind w:left="0" w:right="109"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 simple, en cas de forfait d’un joueur, celui-ci sera immédiatement remplacé par un joueur en liste d’attente si elle existe ou la place sera laissée vacante. En double, en cas de forfait d’un joueur, si son partenaire trouve un remplaçant, ils seront replacés en fin de liste d’attente s’il y en a une. L’organisation se réserve le droit de trouver un remplaçant si le forfait a eu lieu à une date trop proche de la date du tournoi sans utiliser la liste d’attente.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4"/>
          <w:tab w:val="left" w:pos="825"/>
        </w:tabs>
        <w:spacing w:after="0" w:before="0" w:line="249" w:lineRule="auto"/>
        <w:ind w:left="105" w:right="165"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Il ne sera fait qu’un seul remboursement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par club</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même en cas d’inscription individuelle.</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4"/>
          <w:tab w:val="left" w:pos="825"/>
        </w:tabs>
        <w:spacing w:after="0" w:before="1" w:line="249" w:lineRule="auto"/>
        <w:ind w:left="105" w:right="10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Le joueur forfait après le tirage au sort devra envoyer un justificatif avant 5 jours après la fin de la compétition à la Ligue de Badminton d’Auvergne Rhône Alpes. Sous peine de 2 mois de suspension sur le territoire français (Tournois et interclubs), en précisant Nom, Prénom, N° de licence, nom et date de la compétition.</w:t>
      </w:r>
    </w:p>
    <w:p w:rsidR="00000000" w:rsidDel="00000000" w:rsidP="00000000" w:rsidRDefault="00000000" w:rsidRPr="00000000" w14:paraId="0000003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46"/>
        </w:tabs>
        <w:spacing w:after="0" w:before="164" w:line="242.99999999999997" w:lineRule="auto"/>
        <w:ind w:left="245" w:right="0" w:hanging="141"/>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Par mail : </w:t>
      </w:r>
      <w:hyperlink r:id="rId8">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sophie.bluy@badminton-aura.org</w:t>
        </w:r>
      </w:hyperlink>
      <w:r w:rsidDel="00000000" w:rsidR="00000000" w:rsidRPr="00000000">
        <w:rPr>
          <w:rtl w:val="0"/>
        </w:rPr>
      </w:r>
    </w:p>
    <w:p w:rsidR="00000000" w:rsidDel="00000000" w:rsidP="00000000" w:rsidRDefault="00000000" w:rsidRPr="00000000" w14:paraId="0000003C">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46"/>
        </w:tabs>
        <w:spacing w:after="0" w:before="2" w:line="235" w:lineRule="auto"/>
        <w:ind w:left="105" w:right="414"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Par courrier : Au siège de la ligue Auvergne Rhône-Alpes</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5" w:right="762"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 Badminton, 37 route du Vercors 38500 Saint-Cassien</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5" w:right="762" w:firstLine="0"/>
        <w:jc w:val="left"/>
        <w:rPr>
          <w:sz w:val="20"/>
          <w:szCs w:val="20"/>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5" w:right="762" w:firstLine="0"/>
        <w:jc w:val="left"/>
        <w:rPr>
          <w:sz w:val="20"/>
          <w:szCs w:val="20"/>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5" w:right="762" w:firstLine="0"/>
        <w:jc w:val="left"/>
        <w:rPr>
          <w:sz w:val="20"/>
          <w:szCs w:val="20"/>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5" w:right="762" w:firstLine="0"/>
        <w:jc w:val="left"/>
        <w:rPr>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105"/>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La Juge - Arbitre : Véronique MARESCA</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Le GEO : Corentin PACAUD 06-85-68-27-98</w:t>
      </w:r>
      <w:r w:rsidDel="00000000" w:rsidR="00000000" w:rsidRPr="00000000">
        <w:rPr>
          <w:rtl w:val="0"/>
        </w:rPr>
      </w:r>
    </w:p>
    <w:sectPr>
      <w:headerReference r:id="rId9" w:type="default"/>
      <w:pgSz w:h="11920" w:w="16860" w:orient="landscape"/>
      <w:pgMar w:bottom="280" w:top="1920" w:left="566.9291338582675" w:right="680" w:header="1015" w:footer="0"/>
      <w:pgNumType w:start="1"/>
      <w:cols w:equalWidth="0" w:num="3">
        <w:col w:space="720" w:w="4716.9400000000005"/>
        <w:col w:space="720" w:w="4716.9400000000005"/>
        <w:col w:space="0" w:w="4716.940000000000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w:drawing>
        <wp:anchor allowOverlap="1" behindDoc="0" distB="0" distT="0" distL="0" distR="0" hidden="0" layoutInCell="1" locked="0" relativeHeight="0" simplePos="0">
          <wp:simplePos x="0" y="0"/>
          <wp:positionH relativeFrom="page">
            <wp:posOffset>457200</wp:posOffset>
          </wp:positionH>
          <wp:positionV relativeFrom="page">
            <wp:posOffset>714375</wp:posOffset>
          </wp:positionV>
          <wp:extent cx="628650" cy="504825"/>
          <wp:effectExtent b="0" l="0" r="0" t="0"/>
          <wp:wrapSquare wrapText="bothSides" distB="0" distT="0" distL="0" distR="0"/>
          <wp:docPr id="2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28650" cy="504825"/>
                  </a:xfrm>
                  <a:prstGeom prst="rect"/>
                  <a:ln/>
                </pic:spPr>
              </pic:pic>
            </a:graphicData>
          </a:graphic>
        </wp:anchor>
      </w:drawing>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8350251</wp:posOffset>
              </wp:positionH>
              <wp:positionV relativeFrom="page">
                <wp:posOffset>622301</wp:posOffset>
              </wp:positionV>
              <wp:extent cx="1715770" cy="524263"/>
              <wp:effectExtent b="0" l="0" r="0" t="0"/>
              <wp:wrapSquare wrapText="bothSides" distB="0" distT="0" distL="0" distR="0"/>
              <wp:docPr id="24" name=""/>
              <a:graphic>
                <a:graphicData uri="http://schemas.microsoft.com/office/word/2010/wordprocessingShape">
                  <wps:wsp>
                    <wps:cNvSpPr/>
                    <wps:cNvPr id="3" name="Shape 3"/>
                    <wps:spPr>
                      <a:xfrm>
                        <a:off x="4497640" y="3529810"/>
                        <a:ext cx="1696720" cy="500380"/>
                      </a:xfrm>
                      <a:prstGeom prst="rect">
                        <a:avLst/>
                      </a:prstGeom>
                      <a:noFill/>
                      <a:ln>
                        <a:noFill/>
                      </a:ln>
                    </wps:spPr>
                    <wps:txbx>
                      <w:txbxContent>
                        <w:p w:rsidR="00000000" w:rsidDel="00000000" w:rsidP="00000000" w:rsidRDefault="00000000" w:rsidRPr="00000000">
                          <w:pPr>
                            <w:spacing w:after="0" w:before="8.999999761581421" w:line="254.00001525878906"/>
                            <w:ind w:left="0" w:right="0" w:firstLine="0"/>
                            <w:jc w:val="left"/>
                            <w:textDirection w:val="btLr"/>
                          </w:pPr>
                          <w:r w:rsidDel="00000000" w:rsidR="00000000" w:rsidRPr="00000000">
                            <w:rPr>
                              <w:rFonts w:ascii="Arial" w:cs="Arial" w:eastAsia="Arial" w:hAnsi="Arial"/>
                              <w:b w:val="0"/>
                              <w:i w:val="0"/>
                              <w:smallCaps w:val="0"/>
                              <w:strike w:val="0"/>
                              <w:color w:val="0000ff"/>
                              <w:sz w:val="28"/>
                              <w:u w:val="single"/>
                              <w:vertAlign w:val="baseline"/>
                            </w:rPr>
                            <w:t xml:space="preserve">www.champabad.fr</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8350251</wp:posOffset>
              </wp:positionH>
              <wp:positionV relativeFrom="page">
                <wp:posOffset>622301</wp:posOffset>
              </wp:positionV>
              <wp:extent cx="1715770" cy="524263"/>
              <wp:effectExtent b="0" l="0" r="0" t="0"/>
              <wp:wrapSquare wrapText="bothSides" distB="0" distT="0" distL="0" distR="0"/>
              <wp:docPr id="2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715770" cy="524263"/>
                      </a:xfrm>
                      <a:prstGeom prst="rect"/>
                      <a:ln/>
                    </pic:spPr>
                  </pic:pic>
                </a:graphicData>
              </a:graphic>
            </wp:anchor>
          </w:drawing>
        </mc:Fallback>
      </mc:AlternateConten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1825626</wp:posOffset>
              </wp:positionH>
              <wp:positionV relativeFrom="page">
                <wp:posOffset>711836</wp:posOffset>
              </wp:positionV>
              <wp:extent cx="6170930" cy="504721"/>
              <wp:effectExtent b="0" l="0" r="0" t="0"/>
              <wp:wrapSquare wrapText="bothSides" distB="0" distT="0" distL="0" distR="0"/>
              <wp:docPr id="23" name=""/>
              <a:graphic>
                <a:graphicData uri="http://schemas.microsoft.com/office/word/2010/wordprocessingShape">
                  <wps:wsp>
                    <wps:cNvSpPr/>
                    <wps:cNvPr id="2" name="Shape 2"/>
                    <wps:spPr>
                      <a:xfrm>
                        <a:off x="2270060" y="3535525"/>
                        <a:ext cx="6151880" cy="488950"/>
                      </a:xfrm>
                      <a:prstGeom prst="rect">
                        <a:avLst/>
                      </a:prstGeom>
                      <a:noFill/>
                      <a:ln>
                        <a:noFill/>
                      </a:ln>
                    </wps:spPr>
                    <wps:txbx>
                      <w:txbxContent>
                        <w:p w:rsidR="00000000" w:rsidDel="00000000" w:rsidP="00000000" w:rsidRDefault="00000000" w:rsidRPr="00000000">
                          <w:pPr>
                            <w:spacing w:after="0" w:before="63.00000190734863" w:line="230.00000953674316"/>
                            <w:ind w:left="0" w:right="17.999999523162842" w:firstLine="0"/>
                            <w:jc w:val="left"/>
                            <w:textDirection w:val="btLr"/>
                          </w:pPr>
                          <w:r w:rsidDel="00000000" w:rsidR="00000000" w:rsidRPr="00000000">
                            <w:rPr>
                              <w:rFonts w:ascii="Century Gothic" w:cs="Century Gothic" w:eastAsia="Century Gothic" w:hAnsi="Century Gothic"/>
                              <w:b w:val="1"/>
                              <w:i w:val="0"/>
                              <w:smallCaps w:val="0"/>
                              <w:strike w:val="0"/>
                              <w:color w:val="4472c3"/>
                              <w:sz w:val="28"/>
                              <w:vertAlign w:val="baseline"/>
                            </w:rPr>
                            <w:t xml:space="preserve">RÉGLEMENT PARTICULIER --- 1</w:t>
                          </w:r>
                          <w:r w:rsidDel="00000000" w:rsidR="00000000" w:rsidRPr="00000000">
                            <w:rPr>
                              <w:rFonts w:ascii="Century Gothic" w:cs="Century Gothic" w:eastAsia="Century Gothic" w:hAnsi="Century Gothic"/>
                              <w:b w:val="1"/>
                              <w:i w:val="0"/>
                              <w:smallCaps w:val="0"/>
                              <w:strike w:val="0"/>
                              <w:color w:val="4472c3"/>
                              <w:sz w:val="28"/>
                              <w:vertAlign w:val="baseline"/>
                            </w:rPr>
                            <w:t xml:space="preserve">1</w:t>
                          </w:r>
                          <w:r w:rsidDel="00000000" w:rsidR="00000000" w:rsidRPr="00000000">
                            <w:rPr>
                              <w:rFonts w:ascii="Century Gothic" w:cs="Century Gothic" w:eastAsia="Century Gothic" w:hAnsi="Century Gothic"/>
                              <w:b w:val="1"/>
                              <w:i w:val="0"/>
                              <w:smallCaps w:val="0"/>
                              <w:strike w:val="0"/>
                              <w:color w:val="4472c3"/>
                              <w:sz w:val="28"/>
                              <w:vertAlign w:val="baseline"/>
                            </w:rPr>
                            <w:t xml:space="preserve">ème ÉDITION DES PLUMES DES MONTS d’OR </w:t>
                          </w:r>
                          <w:r w:rsidDel="00000000" w:rsidR="00000000" w:rsidRPr="00000000">
                            <w:rPr>
                              <w:rFonts w:ascii="Century Gothic" w:cs="Century Gothic" w:eastAsia="Century Gothic" w:hAnsi="Century Gothic"/>
                              <w:b w:val="1"/>
                              <w:i w:val="0"/>
                              <w:smallCaps w:val="0"/>
                              <w:strike w:val="0"/>
                              <w:color w:val="4472c3"/>
                              <w:sz w:val="28"/>
                              <w:vertAlign w:val="baseline"/>
                            </w:rPr>
                            <w:t xml:space="preserve">16-17-18</w:t>
                          </w:r>
                          <w:r w:rsidDel="00000000" w:rsidR="00000000" w:rsidRPr="00000000">
                            <w:rPr>
                              <w:rFonts w:ascii="Century Gothic" w:cs="Century Gothic" w:eastAsia="Century Gothic" w:hAnsi="Century Gothic"/>
                              <w:b w:val="1"/>
                              <w:i w:val="0"/>
                              <w:smallCaps w:val="0"/>
                              <w:strike w:val="0"/>
                              <w:color w:val="4472c3"/>
                              <w:sz w:val="28"/>
                              <w:vertAlign w:val="baseline"/>
                            </w:rPr>
                            <w:t xml:space="preserve"> AVRIL 202</w:t>
                          </w:r>
                          <w:r w:rsidDel="00000000" w:rsidR="00000000" w:rsidRPr="00000000">
                            <w:rPr>
                              <w:rFonts w:ascii="Century Gothic" w:cs="Century Gothic" w:eastAsia="Century Gothic" w:hAnsi="Century Gothic"/>
                              <w:b w:val="1"/>
                              <w:i w:val="0"/>
                              <w:smallCaps w:val="0"/>
                              <w:strike w:val="0"/>
                              <w:color w:val="4472c3"/>
                              <w:sz w:val="28"/>
                              <w:vertAlign w:val="baseline"/>
                            </w:rPr>
                            <w:t xml:space="preserve">2</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1825626</wp:posOffset>
              </wp:positionH>
              <wp:positionV relativeFrom="page">
                <wp:posOffset>711836</wp:posOffset>
              </wp:positionV>
              <wp:extent cx="6170930" cy="504721"/>
              <wp:effectExtent b="0" l="0" r="0" t="0"/>
              <wp:wrapSquare wrapText="bothSides" distB="0" distT="0" distL="0" distR="0"/>
              <wp:docPr id="23"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6170930" cy="504721"/>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27" w:hanging="360"/>
      </w:pPr>
      <w:rPr>
        <w:rFonts w:ascii="Century Gothic" w:cs="Century Gothic" w:eastAsia="Century Gothic" w:hAnsi="Century Gothic"/>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2">
    <w:lvl w:ilvl="0">
      <w:start w:val="1"/>
      <w:numFmt w:val="bullet"/>
      <w:lvlText w:val="*"/>
      <w:lvlJc w:val="left"/>
      <w:pPr>
        <w:ind w:left="105" w:hanging="141"/>
      </w:pPr>
      <w:rPr>
        <w:rFonts w:ascii="Century Gothic" w:cs="Century Gothic" w:eastAsia="Century Gothic" w:hAnsi="Century Gothic"/>
        <w:sz w:val="20"/>
        <w:szCs w:val="20"/>
      </w:rPr>
    </w:lvl>
    <w:lvl w:ilvl="1">
      <w:start w:val="1"/>
      <w:numFmt w:val="bullet"/>
      <w:lvlText w:val="•"/>
      <w:lvlJc w:val="left"/>
      <w:pPr>
        <w:ind w:left="575" w:hanging="141"/>
      </w:pPr>
      <w:rPr/>
    </w:lvl>
    <w:lvl w:ilvl="2">
      <w:start w:val="1"/>
      <w:numFmt w:val="bullet"/>
      <w:lvlText w:val="•"/>
      <w:lvlJc w:val="left"/>
      <w:pPr>
        <w:ind w:left="1051" w:hanging="141"/>
      </w:pPr>
      <w:rPr/>
    </w:lvl>
    <w:lvl w:ilvl="3">
      <w:start w:val="1"/>
      <w:numFmt w:val="bullet"/>
      <w:lvlText w:val="•"/>
      <w:lvlJc w:val="left"/>
      <w:pPr>
        <w:ind w:left="1526" w:hanging="141"/>
      </w:pPr>
      <w:rPr/>
    </w:lvl>
    <w:lvl w:ilvl="4">
      <w:start w:val="1"/>
      <w:numFmt w:val="bullet"/>
      <w:lvlText w:val="•"/>
      <w:lvlJc w:val="left"/>
      <w:pPr>
        <w:ind w:left="2002" w:hanging="141"/>
      </w:pPr>
      <w:rPr/>
    </w:lvl>
    <w:lvl w:ilvl="5">
      <w:start w:val="1"/>
      <w:numFmt w:val="bullet"/>
      <w:lvlText w:val="•"/>
      <w:lvlJc w:val="left"/>
      <w:pPr>
        <w:ind w:left="2477" w:hanging="141"/>
      </w:pPr>
      <w:rPr/>
    </w:lvl>
    <w:lvl w:ilvl="6">
      <w:start w:val="1"/>
      <w:numFmt w:val="bullet"/>
      <w:lvlText w:val="•"/>
      <w:lvlJc w:val="left"/>
      <w:pPr>
        <w:ind w:left="2953" w:hanging="141"/>
      </w:pPr>
      <w:rPr/>
    </w:lvl>
    <w:lvl w:ilvl="7">
      <w:start w:val="1"/>
      <w:numFmt w:val="bullet"/>
      <w:lvlText w:val="•"/>
      <w:lvlJc w:val="left"/>
      <w:pPr>
        <w:ind w:left="3428" w:hanging="141"/>
      </w:pPr>
      <w:rPr/>
    </w:lvl>
    <w:lvl w:ilvl="8">
      <w:start w:val="1"/>
      <w:numFmt w:val="bullet"/>
      <w:lvlText w:val="•"/>
      <w:lvlJc w:val="left"/>
      <w:pPr>
        <w:ind w:left="3904" w:hanging="141.00000000000045"/>
      </w:pPr>
      <w:rPr/>
    </w:lvl>
  </w:abstractNum>
  <w:abstractNum w:abstractNumId="3">
    <w:lvl w:ilvl="0">
      <w:start w:val="1"/>
      <w:numFmt w:val="decimal"/>
      <w:lvlText w:val="%1."/>
      <w:lvlJc w:val="left"/>
      <w:pPr>
        <w:ind w:left="120" w:hanging="720"/>
      </w:pPr>
      <w:rPr>
        <w:b w:val="0"/>
        <w:sz w:val="20"/>
        <w:szCs w:val="20"/>
      </w:rPr>
    </w:lvl>
    <w:lvl w:ilvl="1">
      <w:start w:val="1"/>
      <w:numFmt w:val="bullet"/>
      <w:lvlText w:val="•"/>
      <w:lvlJc w:val="left"/>
      <w:pPr>
        <w:ind w:left="590" w:hanging="720"/>
      </w:pPr>
      <w:rPr/>
    </w:lvl>
    <w:lvl w:ilvl="2">
      <w:start w:val="1"/>
      <w:numFmt w:val="bullet"/>
      <w:lvlText w:val="•"/>
      <w:lvlJc w:val="left"/>
      <w:pPr>
        <w:ind w:left="1060" w:hanging="720"/>
      </w:pPr>
      <w:rPr/>
    </w:lvl>
    <w:lvl w:ilvl="3">
      <w:start w:val="1"/>
      <w:numFmt w:val="bullet"/>
      <w:lvlText w:val="•"/>
      <w:lvlJc w:val="left"/>
      <w:pPr>
        <w:ind w:left="1530" w:hanging="720"/>
      </w:pPr>
      <w:rPr/>
    </w:lvl>
    <w:lvl w:ilvl="4">
      <w:start w:val="1"/>
      <w:numFmt w:val="bullet"/>
      <w:lvlText w:val="•"/>
      <w:lvlJc w:val="left"/>
      <w:pPr>
        <w:ind w:left="2000" w:hanging="720"/>
      </w:pPr>
      <w:rPr/>
    </w:lvl>
    <w:lvl w:ilvl="5">
      <w:start w:val="1"/>
      <w:numFmt w:val="bullet"/>
      <w:lvlText w:val="•"/>
      <w:lvlJc w:val="left"/>
      <w:pPr>
        <w:ind w:left="2470" w:hanging="720"/>
      </w:pPr>
      <w:rPr/>
    </w:lvl>
    <w:lvl w:ilvl="6">
      <w:start w:val="1"/>
      <w:numFmt w:val="bullet"/>
      <w:lvlText w:val="•"/>
      <w:lvlJc w:val="left"/>
      <w:pPr>
        <w:ind w:left="2940" w:hanging="720"/>
      </w:pPr>
      <w:rPr/>
    </w:lvl>
    <w:lvl w:ilvl="7">
      <w:start w:val="1"/>
      <w:numFmt w:val="bullet"/>
      <w:lvlText w:val="•"/>
      <w:lvlJc w:val="left"/>
      <w:pPr>
        <w:ind w:left="3410" w:hanging="720"/>
      </w:pPr>
      <w:rPr/>
    </w:lvl>
    <w:lvl w:ilvl="8">
      <w:start w:val="1"/>
      <w:numFmt w:val="bullet"/>
      <w:lvlText w:val="•"/>
      <w:lvlJc w:val="left"/>
      <w:pPr>
        <w:ind w:left="3880" w:hanging="72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3" w:lineRule="auto"/>
      <w:ind w:left="1419"/>
    </w:pPr>
    <w:rPr>
      <w:b w:val="1"/>
      <w:sz w:val="28"/>
      <w:szCs w:val="28"/>
    </w:rPr>
  </w:style>
  <w:style w:type="paragraph" w:styleId="Heading2">
    <w:name w:val="heading 2"/>
    <w:basedOn w:val="Normal"/>
    <w:next w:val="Normal"/>
    <w:pPr>
      <w:ind w:left="105"/>
    </w:pPr>
    <w:rPr>
      <w:b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63" w:lineRule="auto"/>
      <w:ind w:left="1419"/>
    </w:pPr>
    <w:rPr>
      <w:b w:val="1"/>
      <w:sz w:val="28"/>
      <w:szCs w:val="28"/>
    </w:rPr>
  </w:style>
  <w:style w:type="paragraph" w:styleId="Heading2">
    <w:name w:val="heading 2"/>
    <w:basedOn w:val="Normal"/>
    <w:next w:val="Normal"/>
    <w:pPr>
      <w:ind w:left="105"/>
    </w:pPr>
    <w:rPr>
      <w:b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rFonts w:ascii="Century Gothic" w:cs="Century Gothic" w:eastAsia="Century Gothic" w:hAnsi="Century Gothic"/>
      <w:lang w:bidi="fr-FR" w:eastAsia="fr-FR" w:val="fr-FR"/>
    </w:rPr>
  </w:style>
  <w:style w:type="paragraph" w:styleId="Titre1">
    <w:name w:val="heading 1"/>
    <w:basedOn w:val="Normal"/>
    <w:uiPriority w:val="1"/>
    <w:qFormat w:val="1"/>
    <w:pPr>
      <w:spacing w:before="63"/>
      <w:ind w:left="1419"/>
      <w:outlineLvl w:val="0"/>
    </w:pPr>
    <w:rPr>
      <w:b w:val="1"/>
      <w:bCs w:val="1"/>
      <w:sz w:val="28"/>
      <w:szCs w:val="28"/>
    </w:rPr>
  </w:style>
  <w:style w:type="paragraph" w:styleId="Titre2">
    <w:name w:val="heading 2"/>
    <w:basedOn w:val="Normal"/>
    <w:uiPriority w:val="1"/>
    <w:qFormat w:val="1"/>
    <w:pPr>
      <w:ind w:left="105"/>
      <w:outlineLvl w:val="1"/>
    </w:pPr>
    <w:rPr>
      <w:b w:val="1"/>
      <w:bCs w:val="1"/>
      <w:sz w:val="20"/>
      <w:szCs w:val="20"/>
    </w:rPr>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sdetexte">
    <w:name w:val="Body Text"/>
    <w:basedOn w:val="Normal"/>
    <w:uiPriority w:val="1"/>
    <w:qFormat w:val="1"/>
    <w:rPr>
      <w:sz w:val="20"/>
      <w:szCs w:val="20"/>
    </w:rPr>
  </w:style>
  <w:style w:type="paragraph" w:styleId="Paragraphedeliste">
    <w:name w:val="List Paragraph"/>
    <w:basedOn w:val="Normal"/>
    <w:uiPriority w:val="1"/>
    <w:qFormat w:val="1"/>
    <w:pPr>
      <w:ind w:left="105" w:right="38"/>
    </w:pPr>
  </w:style>
  <w:style w:type="paragraph" w:styleId="TableParagraph" w:customStyle="1">
    <w:name w:val="Table Paragraph"/>
    <w:basedOn w:val="Normal"/>
    <w:uiPriority w:val="1"/>
    <w:qFormat w:val="1"/>
  </w:style>
  <w:style w:type="paragraph" w:styleId="En-tte">
    <w:name w:val="header"/>
    <w:basedOn w:val="Normal"/>
    <w:link w:val="En-tteCar"/>
    <w:uiPriority w:val="99"/>
    <w:unhideWhenUsed w:val="1"/>
    <w:rsid w:val="009B66A1"/>
    <w:pPr>
      <w:tabs>
        <w:tab w:val="center" w:pos="4536"/>
        <w:tab w:val="right" w:pos="9072"/>
      </w:tabs>
    </w:pPr>
  </w:style>
  <w:style w:type="character" w:styleId="En-tteCar" w:customStyle="1">
    <w:name w:val="En-tête Car"/>
    <w:basedOn w:val="Policepardfaut"/>
    <w:link w:val="En-tte"/>
    <w:uiPriority w:val="99"/>
    <w:rsid w:val="009B66A1"/>
    <w:rPr>
      <w:rFonts w:ascii="Century Gothic" w:cs="Century Gothic" w:eastAsia="Century Gothic" w:hAnsi="Century Gothic"/>
      <w:lang w:bidi="fr-FR" w:eastAsia="fr-FR" w:val="fr-FR"/>
    </w:rPr>
  </w:style>
  <w:style w:type="paragraph" w:styleId="Pieddepage">
    <w:name w:val="footer"/>
    <w:basedOn w:val="Normal"/>
    <w:link w:val="PieddepageCar"/>
    <w:uiPriority w:val="99"/>
    <w:unhideWhenUsed w:val="1"/>
    <w:rsid w:val="009B66A1"/>
    <w:pPr>
      <w:tabs>
        <w:tab w:val="center" w:pos="4536"/>
        <w:tab w:val="right" w:pos="9072"/>
      </w:tabs>
    </w:pPr>
  </w:style>
  <w:style w:type="character" w:styleId="PieddepageCar" w:customStyle="1">
    <w:name w:val="Pied de page Car"/>
    <w:basedOn w:val="Policepardfaut"/>
    <w:link w:val="Pieddepage"/>
    <w:uiPriority w:val="99"/>
    <w:rsid w:val="009B66A1"/>
    <w:rPr>
      <w:rFonts w:ascii="Century Gothic" w:cs="Century Gothic" w:eastAsia="Century Gothic" w:hAnsi="Century Gothic"/>
      <w:lang w:bidi="fr-FR" w:eastAsia="fr-FR" w:val="fr-F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hampabad.tounois@gmail.com" TargetMode="External"/><Relationship Id="rId8" Type="http://schemas.openxmlformats.org/officeDocument/2006/relationships/hyperlink" Target="mailto:sophie.bluy@badminton-aur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W0bJ2tOknnLtdGf0WP1dhlWOvg==">AMUW2mWuMc40m++EZgItf6Wpqf2IjZ0sz/7nEACw+O9NQLJwEeewAB1hy8WPeSNQIlD5R/gzr2q4a21jQXVPW86uOFXTe3OqdQHQuvZtPq94kVIEWJl0bZ/rOJXHnKjvQiwYdByLVk0i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2020-02-17T23:08:00Z</dcterms:created>
  <dc:creator>Corentin PACAUD</dc:creator>
</cp:coreProperties>
</file>